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280"/>
        <w:jc w:val="center"/>
      </w:pPr>
      <w:r>
        <w:rPr>
          <w:rFonts w:ascii="Noto Kufi Arabic" w:hAnsi="Noto Kufi Arabic" w:cs="Noto Kufi Arabic" w:eastAsia="Noto Kufi Arabic"/>
          <w:b/>
          <w:bCs/>
          <w:color w:val="000000"/>
          <w:sz w:val="40"/>
          <w:szCs w:val="40"/>
          <w:rtl w:val="1"/>
        </w:rPr>
        <w:t>بحث عن تعتيق المعادن مفهومه وطرقه وسلامته مع ملف للطباعة</w:t>
      </w:r>
    </w:p>
    <w:p>
      <w:pPr>
        <w:bidi w:val="1"/>
        <w:spacing w:after="120" w:line="360" w:lineRule="auto" w:before="240"/>
      </w:pPr>
      <w:r>
        <w:rPr>
          <w:rFonts w:ascii="Noto Kufi Arabic" w:hAnsi="Noto Kufi Arabic" w:cs="Noto Kufi Arabic" w:eastAsia="Noto Kufi Arabic"/>
          <w:b/>
          <w:bCs/>
          <w:color w:val="000000"/>
          <w:sz w:val="32"/>
          <w:szCs w:val="32"/>
          <w:rtl w:val="1"/>
        </w:rPr>
        <w:t>مقدمة بحث عن تعتيق المعادن</w:t>
      </w:r>
    </w:p>
    <w:p>
      <w:pPr>
        <w:bidi w:val="1"/>
        <w:spacing w:after="120" w:line="360" w:lineRule="auto"/>
      </w:pPr>
      <w:r>
        <w:rPr>
          <w:rFonts w:ascii="IBM Plex Sans Arabic" w:hAnsi="IBM Plex Sans Arabic" w:cs="IBM Plex Sans Arabic" w:eastAsia="IBM Plex Sans Arabic"/>
          <w:b w:val="0"/>
          <w:color w:val="17212F"/>
          <w:sz w:val="26"/>
          <w:szCs w:val="26"/>
          <w:rtl w:val="1"/>
        </w:rPr>
        <w:t>يستعمل الإنسان المعادن، كالفضة والنحاس والبرونز، في صنع الحلي والأواني والتحف. وللمعدن الجديد سطح لامع، لكن كثيرًا من الصناع يفضلون له مظهرًا قديمًا داكن اللون أو مخضرًّا يبرز نقوشه وتفاصيله. وتعتيق المعادن هو الطريقة التي تمنحه هذا المظهر.</w:t>
      </w:r>
    </w:p>
    <w:p>
      <w:pPr>
        <w:bidi w:val="1"/>
        <w:spacing w:after="120" w:line="360" w:lineRule="auto"/>
      </w:pPr>
      <w:r>
        <w:rPr>
          <w:rFonts w:ascii="IBM Plex Sans Arabic" w:hAnsi="IBM Plex Sans Arabic" w:cs="IBM Plex Sans Arabic" w:eastAsia="IBM Plex Sans Arabic"/>
          <w:b w:val="0"/>
          <w:color w:val="17212F"/>
          <w:sz w:val="26"/>
          <w:szCs w:val="26"/>
          <w:rtl w:val="1"/>
        </w:rPr>
        <w:t>ويعرض هذا البحث معنى التعتيق، وأشهر طرقه، وما يلزم من سلامة عند تنفيذه، وكيف تُحفظ الطبقة الناتجة.</w:t>
      </w:r>
    </w:p>
    <w:p>
      <w:pPr>
        <w:bidi w:val="1"/>
        <w:spacing w:after="120" w:line="360" w:lineRule="auto" w:before="240"/>
      </w:pPr>
      <w:r>
        <w:rPr>
          <w:rFonts w:ascii="Noto Kufi Arabic" w:hAnsi="Noto Kufi Arabic" w:cs="Noto Kufi Arabic" w:eastAsia="Noto Kufi Arabic"/>
          <w:b/>
          <w:bCs/>
          <w:color w:val="000000"/>
          <w:sz w:val="32"/>
          <w:szCs w:val="32"/>
          <w:rtl w:val="1"/>
        </w:rPr>
        <w:t>مفهوم تعتيق المعادن</w:t>
      </w:r>
    </w:p>
    <w:p>
      <w:pPr>
        <w:bidi w:val="1"/>
        <w:spacing w:after="120" w:line="360" w:lineRule="auto"/>
      </w:pPr>
      <w:r>
        <w:rPr>
          <w:rFonts w:ascii="IBM Plex Sans Arabic" w:hAnsi="IBM Plex Sans Arabic" w:cs="IBM Plex Sans Arabic" w:eastAsia="IBM Plex Sans Arabic"/>
          <w:b w:val="0"/>
          <w:color w:val="17212F"/>
          <w:sz w:val="26"/>
          <w:szCs w:val="26"/>
          <w:rtl w:val="1"/>
        </w:rPr>
        <w:t xml:space="preserve">يقصد بتعتيق المعادن تحويل سطح المعدن بتفاعل كيميائي إلى طبقة ملونة، وتسمى هذه الطبقة </w:t>
      </w:r>
      <w:r>
        <w:rPr>
          <w:rFonts w:ascii="IBM Plex Sans Arabic" w:hAnsi="IBM Plex Sans Arabic" w:cs="IBM Plex Sans Arabic" w:eastAsia="IBM Plex Sans Arabic"/>
          <w:b/>
          <w:bCs/>
          <w:color w:val="17212F"/>
          <w:sz w:val="26"/>
          <w:szCs w:val="26"/>
          <w:rtl w:val="1"/>
        </w:rPr>
        <w:t>الباتينا</w:t>
      </w:r>
      <w:r>
        <w:rPr>
          <w:rFonts w:ascii="IBM Plex Sans Arabic" w:hAnsi="IBM Plex Sans Arabic" w:cs="IBM Plex Sans Arabic" w:eastAsia="IBM Plex Sans Arabic"/>
          <w:b w:val="0"/>
          <w:color w:val="17212F"/>
          <w:sz w:val="26"/>
          <w:szCs w:val="26"/>
          <w:rtl w:val="1"/>
        </w:rPr>
        <w:t xml:space="preserve"> (طبقة التعتيق)، وتُعرف في العربية أيضًا بغشاء العتق أو غشاء التقادم. وتتكوّن الطبقة الخضراء على النحاس والبرونز طبيعيًا بالأكسدة مع الزمن، فتفقد السطح لمعانه، ويحاكيها التعتيق بالمواد الكيميائية في وقت قصير. وتتكون الطبقة من مركب ملون، كأملاح المعدن، يغطي السطح فيغيّر لونه. وهي عملية تخص السطح وحده، ولا تغيّر شكل القطعة، فتختلف عن تشكيل المعادن بالطرق والدرفلة.</w:t>
      </w:r>
    </w:p>
    <w:p>
      <w:pPr>
        <w:bidi w:val="1"/>
        <w:spacing w:after="120" w:line="360" w:lineRule="auto"/>
      </w:pPr>
      <w:r>
        <w:rPr>
          <w:rFonts w:ascii="IBM Plex Sans Arabic" w:hAnsi="IBM Plex Sans Arabic" w:cs="IBM Plex Sans Arabic" w:eastAsia="IBM Plex Sans Arabic"/>
          <w:b w:val="0"/>
          <w:color w:val="17212F"/>
          <w:sz w:val="26"/>
          <w:szCs w:val="26"/>
          <w:rtl w:val="1"/>
        </w:rPr>
        <w:t>ويختلف ناتج التعتيق باختلاف المعدن والمادة المستعملة: فالفضة والنحاس يتجهان إلى الأسود والرمادي مع الكبريت، والنحاس يتجه إلى الأزرق والأخضر مع الأمونيا.</w:t>
      </w:r>
    </w:p>
    <w:p>
      <w:pPr>
        <w:bidi w:val="1"/>
        <w:spacing w:after="120" w:line="360" w:lineRule="auto" w:before="240"/>
      </w:pPr>
      <w:r>
        <w:rPr>
          <w:rFonts w:ascii="Noto Kufi Arabic" w:hAnsi="Noto Kufi Arabic" w:cs="Noto Kufi Arabic" w:eastAsia="Noto Kufi Arabic"/>
          <w:b/>
          <w:bCs/>
          <w:color w:val="000000"/>
          <w:sz w:val="32"/>
          <w:szCs w:val="32"/>
          <w:rtl w:val="1"/>
        </w:rPr>
        <w:t>طرق تعتيق المعادن</w:t>
      </w:r>
    </w:p>
    <w:p>
      <w:pPr>
        <w:bidi w:val="1"/>
        <w:spacing w:after="120" w:line="360" w:lineRule="auto"/>
      </w:pPr>
      <w:r>
        <w:rPr>
          <w:rFonts w:ascii="IBM Plex Sans Arabic" w:hAnsi="IBM Plex Sans Arabic" w:cs="IBM Plex Sans Arabic" w:eastAsia="IBM Plex Sans Arabic"/>
          <w:b w:val="0"/>
          <w:color w:val="17212F"/>
          <w:sz w:val="26"/>
          <w:szCs w:val="26"/>
          <w:rtl w:val="1"/>
        </w:rPr>
        <w:t>تتعدد وسائل تعتيق المعادن، ويختار منها الصانع بحسب نوع المعدن واللون الذي يريده. وأشهر هذه الوسائل طريقتان تُعرضان فيما يلي.</w:t>
      </w:r>
    </w:p>
    <w:p>
      <w:pPr>
        <w:bidi w:val="1"/>
        <w:spacing w:after="120" w:line="360" w:lineRule="auto" w:before="240"/>
      </w:pPr>
      <w:r>
        <w:rPr>
          <w:rFonts w:ascii="Noto Kufi Arabic" w:hAnsi="Noto Kufi Arabic" w:cs="Noto Kufi Arabic" w:eastAsia="Noto Kufi Arabic"/>
          <w:b/>
          <w:bCs/>
          <w:color w:val="000000"/>
          <w:sz w:val="28"/>
          <w:szCs w:val="28"/>
          <w:rtl w:val="1"/>
        </w:rPr>
        <w:t>التعتيق بالكبريت الكبدي</w:t>
      </w:r>
    </w:p>
    <w:p>
      <w:pPr>
        <w:bidi w:val="1"/>
        <w:spacing w:after="120" w:line="360" w:lineRule="auto"/>
      </w:pPr>
      <w:r>
        <w:rPr>
          <w:rFonts w:ascii="IBM Plex Sans Arabic" w:hAnsi="IBM Plex Sans Arabic" w:cs="IBM Plex Sans Arabic" w:eastAsia="IBM Plex Sans Arabic"/>
          <w:b/>
          <w:bCs/>
          <w:color w:val="17212F"/>
          <w:sz w:val="26"/>
          <w:szCs w:val="26"/>
          <w:rtl w:val="1"/>
        </w:rPr>
        <w:t>الكبريت الكبدي</w:t>
      </w:r>
      <w:r>
        <w:rPr>
          <w:rFonts w:ascii="IBM Plex Sans Arabic" w:hAnsi="IBM Plex Sans Arabic" w:cs="IBM Plex Sans Arabic" w:eastAsia="IBM Plex Sans Arabic"/>
          <w:b w:val="0"/>
          <w:color w:val="17212F"/>
          <w:sz w:val="26"/>
          <w:szCs w:val="26"/>
          <w:rtl w:val="1"/>
        </w:rPr>
        <w:t xml:space="preserve"> مادة تُذاب في الماء، وتُغمس فيها القطعة النظيفة أو يُمرَّر بها عليها، فيغمّق سطح الفضة والنحاس والبرونز. وبتكرار الغمس تزداد الطبقة قتامة، فتصير الفضة بين الأزرق المسود والرمادي الفولاذي، ويصير النحاس أسود مائلًا إلى البنفسجي. ولا يتفاعل الكبريت الكبدي جيدًا مع النحاس الأصفر.</w:t>
      </w:r>
    </w:p>
    <w:p>
      <w:pPr>
        <w:bidi w:val="1"/>
        <w:spacing w:after="120" w:line="360" w:lineRule="auto"/>
      </w:pPr>
      <w:r>
        <w:rPr>
          <w:rFonts w:ascii="IBM Plex Sans Arabic" w:hAnsi="IBM Plex Sans Arabic" w:cs="IBM Plex Sans Arabic" w:eastAsia="IBM Plex Sans Arabic"/>
          <w:b w:val="0"/>
          <w:color w:val="17212F"/>
          <w:sz w:val="26"/>
          <w:szCs w:val="26"/>
          <w:rtl w:val="1"/>
        </w:rPr>
        <w:t>وتعطي المحاليل المخففة ألوانًا وسيطة من الأصفر والبني المحمر والبنفسجي والأزرق، لكنها غير ثابتة وتميل إلى الإظلام ما لم تُثبَّت بطلاء.</w:t>
      </w:r>
    </w:p>
    <w:p>
      <w:pPr>
        <w:bidi w:val="1"/>
        <w:spacing w:after="120" w:line="360" w:lineRule="auto" w:before="240"/>
      </w:pPr>
      <w:r>
        <w:rPr>
          <w:rFonts w:ascii="Noto Kufi Arabic" w:hAnsi="Noto Kufi Arabic" w:cs="Noto Kufi Arabic" w:eastAsia="Noto Kufi Arabic"/>
          <w:b/>
          <w:bCs/>
          <w:color w:val="000000"/>
          <w:sz w:val="28"/>
          <w:szCs w:val="28"/>
          <w:rtl w:val="1"/>
        </w:rPr>
        <w:t>التعتيق بالتبخير بالأمونيا</w:t>
      </w:r>
    </w:p>
    <w:p>
      <w:pPr>
        <w:bidi w:val="1"/>
        <w:spacing w:after="120" w:line="360" w:lineRule="auto"/>
      </w:pPr>
      <w:r>
        <w:rPr>
          <w:rFonts w:ascii="IBM Plex Sans Arabic" w:hAnsi="IBM Plex Sans Arabic" w:cs="IBM Plex Sans Arabic" w:eastAsia="IBM Plex Sans Arabic"/>
          <w:b w:val="0"/>
          <w:color w:val="17212F"/>
          <w:sz w:val="26"/>
          <w:szCs w:val="26"/>
          <w:rtl w:val="1"/>
        </w:rPr>
        <w:t xml:space="preserve">في </w:t>
      </w:r>
      <w:r>
        <w:rPr>
          <w:rFonts w:ascii="IBM Plex Sans Arabic" w:hAnsi="IBM Plex Sans Arabic" w:cs="IBM Plex Sans Arabic" w:eastAsia="IBM Plex Sans Arabic"/>
          <w:b/>
          <w:bCs/>
          <w:color w:val="17212F"/>
          <w:sz w:val="26"/>
          <w:szCs w:val="26"/>
          <w:rtl w:val="1"/>
        </w:rPr>
        <w:t>التبخير بالأمونيا</w:t>
      </w:r>
      <w:r>
        <w:rPr>
          <w:rFonts w:ascii="IBM Plex Sans Arabic" w:hAnsi="IBM Plex Sans Arabic" w:cs="IBM Plex Sans Arabic" w:eastAsia="IBM Plex Sans Arabic"/>
          <w:b w:val="0"/>
          <w:color w:val="17212F"/>
          <w:sz w:val="26"/>
          <w:szCs w:val="26"/>
          <w:rtl w:val="1"/>
        </w:rPr>
        <w:t xml:space="preserve"> توضع القطعة النحاسية النظيفة في وعاء مغلق ومعها إناء فيه أمونيا منزلية، فيتفاعل بخارها مع سطح النحاس ويكوّن طبقة تتدرج ألوانها من الأزرق الفاتح إلى الأخضر الداكن. ويكفي لطبقة خفيفة ساعات قليلة، وتحتاج الطبقة الكثيفة إلى يوم أو أكثر، فتُراقب القطعة حتى يبلغ اللون المطلوب. ويسرّع التفاعل أن يكون السطح رطبًا قليلًا.</w:t>
      </w:r>
    </w:p>
    <w:p>
      <w:pPr>
        <w:bidi w:val="1"/>
        <w:spacing w:after="120" w:line="360" w:lineRule="auto"/>
      </w:pPr>
      <w:r>
        <w:rPr>
          <w:rFonts w:ascii="IBM Plex Sans Arabic" w:hAnsi="IBM Plex Sans Arabic" w:cs="IBM Plex Sans Arabic" w:eastAsia="IBM Plex Sans Arabic"/>
          <w:b w:val="0"/>
          <w:color w:val="17212F"/>
          <w:sz w:val="26"/>
          <w:szCs w:val="26"/>
          <w:rtl w:val="1"/>
        </w:rPr>
        <w:t>ويُبخَّر النحاس الأصفر والبرونز ساعات قليلة فقط، لأن الأمونيا تتلفهما إذا طالت المدة.</w:t>
      </w:r>
    </w:p>
    <w:p>
      <w:pPr>
        <w:bidi w:val="1"/>
        <w:spacing w:after="120" w:line="360" w:lineRule="auto" w:before="240"/>
      </w:pPr>
      <w:r>
        <w:rPr>
          <w:rFonts w:ascii="Noto Kufi Arabic" w:hAnsi="Noto Kufi Arabic" w:cs="Noto Kufi Arabic" w:eastAsia="Noto Kufi Arabic"/>
          <w:b/>
          <w:bCs/>
          <w:color w:val="000000"/>
          <w:sz w:val="32"/>
          <w:szCs w:val="32"/>
          <w:rtl w:val="1"/>
        </w:rPr>
        <w:t>شروط السلامة عند التعتيق</w:t>
      </w:r>
    </w:p>
    <w:p>
      <w:pPr>
        <w:bidi w:val="1"/>
        <w:spacing w:after="120" w:line="360" w:lineRule="auto"/>
      </w:pPr>
      <w:r>
        <w:rPr>
          <w:rFonts w:ascii="IBM Plex Sans Arabic" w:hAnsi="IBM Plex Sans Arabic" w:cs="IBM Plex Sans Arabic" w:eastAsia="IBM Plex Sans Arabic"/>
          <w:b w:val="0"/>
          <w:color w:val="17212F"/>
          <w:sz w:val="26"/>
          <w:szCs w:val="26"/>
          <w:rtl w:val="1"/>
        </w:rPr>
        <w:t>موادّ التعتيق ضارة، فلا يُنفَّذ التعتيق قبل الاحتياط لها. وأهم ما يُلتزم به:</w:t>
      </w:r>
    </w:p>
    <w:p>
      <w:pPr>
        <w:bidi w:val="1"/>
        <w:spacing w:after="120" w:line="360" w:lineRule="auto"/>
      </w:pPr>
      <w:r>
        <w:rPr>
          <w:rFonts w:ascii="IBM Plex Sans Arabic" w:hAnsi="IBM Plex Sans Arabic" w:cs="IBM Plex Sans Arabic" w:eastAsia="IBM Plex Sans Arabic"/>
          <w:b/>
          <w:bCs/>
          <w:color w:val="D89A2B"/>
          <w:sz w:val="26"/>
          <w:szCs w:val="26"/>
          <w:rtl w:val="1"/>
        </w:rPr>
        <w:t xml:space="preserve">•  </w:t>
      </w:r>
      <w:r>
        <w:rPr>
          <w:rFonts w:ascii="IBM Plex Sans Arabic" w:hAnsi="IBM Plex Sans Arabic" w:cs="IBM Plex Sans Arabic" w:eastAsia="IBM Plex Sans Arabic"/>
          <w:b/>
          <w:bCs/>
          <w:color w:val="17212F"/>
          <w:sz w:val="26"/>
          <w:szCs w:val="26"/>
          <w:rtl w:val="1"/>
        </w:rPr>
        <w:t>ارتد القفازات والملاقط ونظارة تقي الرذاذ</w:t>
      </w:r>
      <w:r>
        <w:rPr>
          <w:rFonts w:ascii="IBM Plex Sans Arabic" w:hAnsi="IBM Plex Sans Arabic" w:cs="IBM Plex Sans Arabic" w:eastAsia="IBM Plex Sans Arabic"/>
          <w:b w:val="0"/>
          <w:color w:val="17212F"/>
          <w:sz w:val="26"/>
          <w:szCs w:val="26"/>
          <w:rtl w:val="1"/>
        </w:rPr>
        <w:t>، واعمل تحت شفاط أو في مكان جيد التهوية.</w:t>
      </w:r>
    </w:p>
    <w:p>
      <w:pPr>
        <w:bidi w:val="1"/>
        <w:spacing w:after="120" w:line="360" w:lineRule="auto"/>
      </w:pPr>
      <w:r>
        <w:rPr>
          <w:rFonts w:ascii="IBM Plex Sans Arabic" w:hAnsi="IBM Plex Sans Arabic" w:cs="IBM Plex Sans Arabic" w:eastAsia="IBM Plex Sans Arabic"/>
          <w:b/>
          <w:bCs/>
          <w:color w:val="D89A2B"/>
          <w:sz w:val="26"/>
          <w:szCs w:val="26"/>
          <w:rtl w:val="1"/>
        </w:rPr>
        <w:t xml:space="preserve">•  </w:t>
      </w:r>
      <w:r>
        <w:rPr>
          <w:rFonts w:ascii="IBM Plex Sans Arabic" w:hAnsi="IBM Plex Sans Arabic" w:cs="IBM Plex Sans Arabic" w:eastAsia="IBM Plex Sans Arabic"/>
          <w:b/>
          <w:bCs/>
          <w:color w:val="17212F"/>
          <w:sz w:val="26"/>
          <w:szCs w:val="26"/>
          <w:rtl w:val="1"/>
        </w:rPr>
        <w:t>أبعد الكبريت الكبدي عن الأحماض</w:t>
      </w:r>
      <w:r>
        <w:rPr>
          <w:rFonts w:ascii="IBM Plex Sans Arabic" w:hAnsi="IBM Plex Sans Arabic" w:cs="IBM Plex Sans Arabic" w:eastAsia="IBM Plex Sans Arabic"/>
          <w:b w:val="0"/>
          <w:color w:val="17212F"/>
          <w:sz w:val="26"/>
          <w:szCs w:val="26"/>
          <w:rtl w:val="1"/>
        </w:rPr>
        <w:t>، فتلامسه بها يطلق غازًا سامًا هو كبريتيد الهيدروجين، وانتبه لبقايا حمض التنظيف داخل القطع المجوفة، وغطِّ المحلول بعد الاستعمال.</w:t>
      </w:r>
    </w:p>
    <w:p>
      <w:pPr>
        <w:bidi w:val="1"/>
        <w:spacing w:after="120" w:line="360" w:lineRule="auto"/>
      </w:pPr>
      <w:r>
        <w:rPr>
          <w:rFonts w:ascii="IBM Plex Sans Arabic" w:hAnsi="IBM Plex Sans Arabic" w:cs="IBM Plex Sans Arabic" w:eastAsia="IBM Plex Sans Arabic"/>
          <w:b/>
          <w:bCs/>
          <w:color w:val="D89A2B"/>
          <w:sz w:val="26"/>
          <w:szCs w:val="26"/>
          <w:rtl w:val="1"/>
        </w:rPr>
        <w:t xml:space="preserve">•  </w:t>
      </w:r>
      <w:r>
        <w:rPr>
          <w:rFonts w:ascii="IBM Plex Sans Arabic" w:hAnsi="IBM Plex Sans Arabic" w:cs="IBM Plex Sans Arabic" w:eastAsia="IBM Plex Sans Arabic"/>
          <w:b/>
          <w:bCs/>
          <w:color w:val="17212F"/>
          <w:sz w:val="26"/>
          <w:szCs w:val="26"/>
          <w:rtl w:val="1"/>
        </w:rPr>
        <w:t>تجنب استنشاق بخار الأمونيا</w:t>
      </w:r>
      <w:r>
        <w:rPr>
          <w:rFonts w:ascii="IBM Plex Sans Arabic" w:hAnsi="IBM Plex Sans Arabic" w:cs="IBM Plex Sans Arabic" w:eastAsia="IBM Plex Sans Arabic"/>
          <w:b w:val="0"/>
          <w:color w:val="17212F"/>
          <w:sz w:val="26"/>
          <w:szCs w:val="26"/>
          <w:rtl w:val="1"/>
        </w:rPr>
        <w:t xml:space="preserve"> لأنه يهيّج العين والمجاري التنفسية، وافتح الوعاء بحذر وعلى بعد ذراع منك، واستعمل قفازات نتريل وقناعًا مناسبًا.</w:t>
      </w:r>
    </w:p>
    <w:p>
      <w:pPr>
        <w:bidi w:val="1"/>
        <w:spacing w:after="120" w:line="360" w:lineRule="auto"/>
      </w:pPr>
      <w:r>
        <w:rPr>
          <w:rFonts w:ascii="IBM Plex Sans Arabic" w:hAnsi="IBM Plex Sans Arabic" w:cs="IBM Plex Sans Arabic" w:eastAsia="IBM Plex Sans Arabic"/>
          <w:b/>
          <w:bCs/>
          <w:color w:val="D89A2B"/>
          <w:sz w:val="26"/>
          <w:szCs w:val="26"/>
          <w:rtl w:val="1"/>
        </w:rPr>
        <w:t xml:space="preserve">•  </w:t>
      </w:r>
      <w:r>
        <w:rPr>
          <w:rFonts w:ascii="IBM Plex Sans Arabic" w:hAnsi="IBM Plex Sans Arabic" w:cs="IBM Plex Sans Arabic" w:eastAsia="IBM Plex Sans Arabic"/>
          <w:b/>
          <w:bCs/>
          <w:color w:val="17212F"/>
          <w:sz w:val="26"/>
          <w:szCs w:val="26"/>
          <w:rtl w:val="1"/>
        </w:rPr>
        <w:t>تعامل مع مركبات النحاس</w:t>
      </w:r>
      <w:r>
        <w:rPr>
          <w:rFonts w:ascii="IBM Plex Sans Arabic" w:hAnsi="IBM Plex Sans Arabic" w:cs="IBM Plex Sans Arabic" w:eastAsia="IBM Plex Sans Arabic"/>
          <w:b w:val="0"/>
          <w:color w:val="17212F"/>
          <w:sz w:val="26"/>
          <w:szCs w:val="26"/>
          <w:rtl w:val="1"/>
        </w:rPr>
        <w:t xml:space="preserve"> الناتجة عن التبخير بحذر، فهي خطرة على الجلد وعند الاستنشاق.</w:t>
      </w:r>
    </w:p>
    <w:p>
      <w:pPr>
        <w:bidi w:val="1"/>
        <w:spacing w:after="120" w:line="360" w:lineRule="auto"/>
      </w:pPr>
      <w:r>
        <w:rPr>
          <w:rFonts w:ascii="IBM Plex Sans Arabic" w:hAnsi="IBM Plex Sans Arabic" w:cs="IBM Plex Sans Arabic" w:eastAsia="IBM Plex Sans Arabic"/>
          <w:b/>
          <w:bCs/>
          <w:color w:val="D89A2B"/>
          <w:sz w:val="26"/>
          <w:szCs w:val="26"/>
          <w:rtl w:val="1"/>
        </w:rPr>
        <w:t xml:space="preserve">•  </w:t>
      </w:r>
      <w:r>
        <w:rPr>
          <w:rFonts w:ascii="IBM Plex Sans Arabic" w:hAnsi="IBM Plex Sans Arabic" w:cs="IBM Plex Sans Arabic" w:eastAsia="IBM Plex Sans Arabic"/>
          <w:b/>
          <w:bCs/>
          <w:color w:val="17212F"/>
          <w:sz w:val="26"/>
          <w:szCs w:val="26"/>
          <w:rtl w:val="1"/>
        </w:rPr>
        <w:t>أضف الحمض إلى الماء لا الماء إلى الحمض</w:t>
      </w:r>
      <w:r>
        <w:rPr>
          <w:rFonts w:ascii="IBM Plex Sans Arabic" w:hAnsi="IBM Plex Sans Arabic" w:cs="IBM Plex Sans Arabic" w:eastAsia="IBM Plex Sans Arabic"/>
          <w:b w:val="0"/>
          <w:color w:val="17212F"/>
          <w:sz w:val="26"/>
          <w:szCs w:val="26"/>
          <w:rtl w:val="1"/>
        </w:rPr>
        <w:t>، ولا تخلط مادتين إلا بعد فهم تفاعلهما.</w:t>
      </w:r>
    </w:p>
    <w:p>
      <w:pPr>
        <w:bidi w:val="1"/>
        <w:spacing w:after="120" w:line="360" w:lineRule="auto" w:before="240"/>
      </w:pPr>
      <w:r>
        <w:rPr>
          <w:rFonts w:ascii="Noto Kufi Arabic" w:hAnsi="Noto Kufi Arabic" w:cs="Noto Kufi Arabic" w:eastAsia="Noto Kufi Arabic"/>
          <w:b/>
          <w:bCs/>
          <w:color w:val="000000"/>
          <w:sz w:val="32"/>
          <w:szCs w:val="32"/>
          <w:rtl w:val="1"/>
        </w:rPr>
        <w:t>حماية الطبقة بعد التعتيق</w:t>
      </w:r>
    </w:p>
    <w:p>
      <w:pPr>
        <w:bidi w:val="1"/>
        <w:spacing w:after="120" w:line="360" w:lineRule="auto"/>
      </w:pPr>
      <w:r>
        <w:rPr>
          <w:rFonts w:ascii="IBM Plex Sans Arabic" w:hAnsi="IBM Plex Sans Arabic" w:cs="IBM Plex Sans Arabic" w:eastAsia="IBM Plex Sans Arabic"/>
          <w:b/>
          <w:bCs/>
          <w:color w:val="17212F"/>
          <w:sz w:val="26"/>
          <w:szCs w:val="26"/>
          <w:rtl w:val="1"/>
        </w:rPr>
        <w:t>طبقة التعتيق هشة</w:t>
      </w:r>
      <w:r>
        <w:rPr>
          <w:rFonts w:ascii="IBM Plex Sans Arabic" w:hAnsi="IBM Plex Sans Arabic" w:cs="IBM Plex Sans Arabic" w:eastAsia="IBM Plex Sans Arabic"/>
          <w:b w:val="0"/>
          <w:color w:val="17212F"/>
          <w:sz w:val="26"/>
          <w:szCs w:val="26"/>
          <w:rtl w:val="1"/>
        </w:rPr>
        <w:t>، ولذلك تُغطى بعد اكتمال اللون بطبقة واقية من الشمع أو الأكريليك تحفظ اللون من الزوال والاحتكاك. وتكون الألوان الداكنة، كالرمادي والأسود، أثبت من الألوان الوسيطة الفاتحة.</w:t>
      </w:r>
    </w:p>
    <w:p>
      <w:pPr>
        <w:bidi w:val="1"/>
        <w:spacing w:after="120" w:line="360" w:lineRule="auto" w:before="240"/>
      </w:pPr>
      <w:r>
        <w:rPr>
          <w:rFonts w:ascii="Noto Kufi Arabic" w:hAnsi="Noto Kufi Arabic" w:cs="Noto Kufi Arabic" w:eastAsia="Noto Kufi Arabic"/>
          <w:b/>
          <w:bCs/>
          <w:color w:val="000000"/>
          <w:sz w:val="32"/>
          <w:szCs w:val="32"/>
          <w:rtl w:val="1"/>
        </w:rPr>
        <w:t>استعمالات التعتيق</w:t>
      </w:r>
    </w:p>
    <w:p>
      <w:pPr>
        <w:bidi w:val="1"/>
        <w:spacing w:after="120" w:line="360" w:lineRule="auto"/>
      </w:pPr>
      <w:r>
        <w:rPr>
          <w:rFonts w:ascii="IBM Plex Sans Arabic" w:hAnsi="IBM Plex Sans Arabic" w:cs="IBM Plex Sans Arabic" w:eastAsia="IBM Plex Sans Arabic"/>
          <w:b w:val="0"/>
          <w:color w:val="17212F"/>
          <w:sz w:val="26"/>
          <w:szCs w:val="26"/>
          <w:rtl w:val="1"/>
        </w:rPr>
        <w:t xml:space="preserve">يُستعمل التعتيق في إبراز نقوش الحلي الفضية والتحف النحاسية، فيغمّق الأجزاء الغائرة وتبقى المرتفعات لامعة، فيظهر الزخرف أوضح، وهو ما يشبه إبراز الزخارف في </w:t>
      </w:r>
      <w:r>
        <w:rPr>
          <w:rFonts w:ascii="IBM Plex Sans Arabic" w:hAnsi="IBM Plex Sans Arabic" w:cs="IBM Plex Sans Arabic" w:eastAsia="IBM Plex Sans Arabic"/>
          <w:b w:val="0"/>
          <w:color w:val="17212F"/>
          <w:sz w:val="26"/>
          <w:szCs w:val="26"/>
          <w:rtl w:val="1"/>
        </w:rPr>
        <w:t>بحث عن الزخرفة الكتابية</w:t>
      </w:r>
      <w:r>
        <w:rPr>
          <w:rFonts w:ascii="IBM Plex Sans Arabic" w:hAnsi="IBM Plex Sans Arabic" w:cs="IBM Plex Sans Arabic" w:eastAsia="IBM Plex Sans Arabic"/>
          <w:b w:val="0"/>
          <w:color w:val="17212F"/>
          <w:sz w:val="26"/>
          <w:szCs w:val="26"/>
          <w:rtl w:val="1"/>
        </w:rPr>
        <w:t xml:space="preserve">. ويدخل في تجديد مظهر الأواني والتماثيل ليبدو عليها قدم العهد. وللتوسع في الزخرفة على الأسطح بوجه عام فهناك </w:t>
      </w:r>
      <w:r>
        <w:rPr>
          <w:rFonts w:ascii="IBM Plex Sans Arabic" w:hAnsi="IBM Plex Sans Arabic" w:cs="IBM Plex Sans Arabic" w:eastAsia="IBM Plex Sans Arabic"/>
          <w:b w:val="0"/>
          <w:color w:val="17212F"/>
          <w:sz w:val="26"/>
          <w:szCs w:val="26"/>
          <w:rtl w:val="1"/>
        </w:rPr>
        <w:t>التشعب الزخرفي على أسطح متنوعة</w:t>
      </w:r>
      <w:r>
        <w:rPr>
          <w:rFonts w:ascii="IBM Plex Sans Arabic" w:hAnsi="IBM Plex Sans Arabic" w:cs="IBM Plex Sans Arabic" w:eastAsia="IBM Plex Sans Arabic"/>
          <w:b w:val="0"/>
          <w:color w:val="17212F"/>
          <w:sz w:val="26"/>
          <w:szCs w:val="26"/>
          <w:rtl w:val="1"/>
        </w:rPr>
        <w:t>.</w:t>
      </w:r>
    </w:p>
    <w:p>
      <w:pPr>
        <w:bidi w:val="1"/>
        <w:spacing w:after="120" w:line="360" w:lineRule="auto" w:before="240"/>
      </w:pPr>
      <w:r>
        <w:rPr>
          <w:rFonts w:ascii="Noto Kufi Arabic" w:hAnsi="Noto Kufi Arabic" w:cs="Noto Kufi Arabic" w:eastAsia="Noto Kufi Arabic"/>
          <w:b/>
          <w:bCs/>
          <w:color w:val="000000"/>
          <w:sz w:val="32"/>
          <w:szCs w:val="32"/>
          <w:rtl w:val="1"/>
        </w:rPr>
        <w:t>خاتمة بحث عن تعتيق المعادن</w:t>
      </w:r>
    </w:p>
    <w:p>
      <w:pPr>
        <w:bidi w:val="1"/>
        <w:spacing w:after="120" w:line="360" w:lineRule="auto"/>
      </w:pPr>
      <w:r>
        <w:rPr>
          <w:rFonts w:ascii="IBM Plex Sans Arabic" w:hAnsi="IBM Plex Sans Arabic" w:cs="IBM Plex Sans Arabic" w:eastAsia="IBM Plex Sans Arabic"/>
          <w:b w:val="0"/>
          <w:color w:val="17212F"/>
          <w:sz w:val="26"/>
          <w:szCs w:val="26"/>
          <w:rtl w:val="1"/>
        </w:rPr>
        <w:t xml:space="preserve">تناول هذا البحث تعتيق المعادن بأنه تلوين لسطح المعدن بتفاعل كيميائي، وعرض طريقتين: الكبريت الكبدي الذي يغمّق الفضة والنحاس، والتبخير بالأمونيا الذي يلوّن النحاس بالأزرق والأخضر. وبيّن شروط السلامة اللازمة لهما، وأهمية تثبيت الطبقة بطلاء. وللكتابة الجاهزة لخاتمة البحوث نماذج في </w:t>
      </w:r>
      <w:r>
        <w:rPr>
          <w:rFonts w:ascii="IBM Plex Sans Arabic" w:hAnsi="IBM Plex Sans Arabic" w:cs="IBM Plex Sans Arabic" w:eastAsia="IBM Plex Sans Arabic"/>
          <w:b w:val="0"/>
          <w:color w:val="17212F"/>
          <w:sz w:val="26"/>
          <w:szCs w:val="26"/>
          <w:rtl w:val="1"/>
        </w:rPr>
        <w:t>خاتمة بحث</w:t>
      </w:r>
      <w:r>
        <w:rPr>
          <w:rFonts w:ascii="IBM Plex Sans Arabic" w:hAnsi="IBM Plex Sans Arabic" w:cs="IBM Plex Sans Arabic" w:eastAsia="IBM Plex Sans Arabic"/>
          <w:b w:val="0"/>
          <w:color w:val="17212F"/>
          <w:sz w:val="26"/>
          <w:szCs w:val="26"/>
          <w:rtl w:val="1"/>
        </w:rPr>
        <w:t>.</w:t>
      </w:r>
    </w:p>
    <w:p>
      <w:pPr>
        <w:bidi w:val="1"/>
        <w:spacing w:after="120" w:line="360" w:lineRule="auto" w:before="240"/>
      </w:pPr>
      <w:r>
        <w:rPr>
          <w:rFonts w:ascii="Noto Kufi Arabic" w:hAnsi="Noto Kufi Arabic" w:cs="Noto Kufi Arabic" w:eastAsia="Noto Kufi Arabic"/>
          <w:b/>
          <w:bCs/>
          <w:color w:val="000000"/>
          <w:sz w:val="32"/>
          <w:szCs w:val="32"/>
          <w:rtl w:val="1"/>
        </w:rPr>
        <w:t>المراجع</w:t>
      </w:r>
    </w:p>
    <w:p>
      <w:pPr>
        <w:bidi w:val="1"/>
        <w:spacing w:after="120" w:line="360" w:lineRule="auto"/>
      </w:pPr>
      <w:r>
        <w:rPr>
          <w:rFonts w:ascii="IBM Plex Sans Arabic" w:hAnsi="IBM Plex Sans Arabic" w:cs="IBM Plex Sans Arabic" w:eastAsia="IBM Plex Sans Arabic"/>
          <w:b/>
          <w:bCs/>
          <w:color w:val="D89A2B"/>
          <w:sz w:val="26"/>
          <w:szCs w:val="26"/>
          <w:rtl w:val="1"/>
        </w:rPr>
        <w:t xml:space="preserve">•  </w:t>
      </w:r>
      <w:r>
        <w:rPr>
          <w:rFonts w:ascii="IBM Plex Sans Arabic" w:hAnsi="IBM Plex Sans Arabic" w:cs="IBM Plex Sans Arabic" w:eastAsia="IBM Plex Sans Arabic"/>
          <w:b/>
          <w:bCs/>
          <w:color w:val="17212F"/>
          <w:sz w:val="26"/>
          <w:szCs w:val="26"/>
          <w:rtl w:val="1"/>
        </w:rPr>
        <w:t>مقالة «غشاء العتق» في ويكيبيديا العربية</w:t>
      </w:r>
      <w:r>
        <w:rPr>
          <w:rFonts w:ascii="IBM Plex Sans Arabic" w:hAnsi="IBM Plex Sans Arabic" w:cs="IBM Plex Sans Arabic" w:eastAsia="IBM Plex Sans Arabic"/>
          <w:b w:val="0"/>
          <w:color w:val="17212F"/>
          <w:sz w:val="26"/>
          <w:szCs w:val="26"/>
          <w:rtl w:val="1"/>
        </w:rPr>
        <w:t xml:space="preserve"> (ar.wikipedia.org). يدعم: تعريف الباتينا وتكوّنها بالأكسدة. تاريخ الاطلاع: 12 أكتوبر 2026.</w:t>
      </w:r>
    </w:p>
    <w:p>
      <w:pPr>
        <w:bidi w:val="1"/>
        <w:spacing w:after="120" w:line="360" w:lineRule="auto"/>
      </w:pPr>
      <w:r>
        <w:rPr>
          <w:rFonts w:ascii="IBM Plex Sans Arabic" w:hAnsi="IBM Plex Sans Arabic" w:cs="IBM Plex Sans Arabic" w:eastAsia="IBM Plex Sans Arabic"/>
          <w:b w:val="0"/>
          <w:color w:val="17212F"/>
          <w:sz w:val="26"/>
          <w:szCs w:val="26"/>
          <w:rtl w:val="1"/>
        </w:rPr>
        <w:t>‪https://ar.wikipedia.org/wiki/%D8%B5%D8%AF%D8%A3_%D8%A7%D9%84%D9%86%D8%AD%D8%A7%D8%B3‬</w:t>
      </w:r>
    </w:p>
    <w:p>
      <w:pPr>
        <w:bidi w:val="1"/>
        <w:spacing w:after="120" w:line="360" w:lineRule="auto"/>
      </w:pPr>
      <w:r>
        <w:rPr>
          <w:rFonts w:ascii="IBM Plex Sans Arabic" w:hAnsi="IBM Plex Sans Arabic" w:cs="IBM Plex Sans Arabic" w:eastAsia="IBM Plex Sans Arabic"/>
          <w:b/>
          <w:bCs/>
          <w:color w:val="D89A2B"/>
          <w:sz w:val="26"/>
          <w:szCs w:val="26"/>
          <w:rtl w:val="1"/>
        </w:rPr>
        <w:t xml:space="preserve">•  </w:t>
      </w:r>
      <w:r>
        <w:rPr>
          <w:rFonts w:ascii="IBM Plex Sans Arabic" w:hAnsi="IBM Plex Sans Arabic" w:cs="IBM Plex Sans Arabic" w:eastAsia="IBM Plex Sans Arabic"/>
          <w:b/>
          <w:bCs/>
          <w:color w:val="17212F"/>
          <w:sz w:val="26"/>
          <w:szCs w:val="26"/>
          <w:rtl w:val="1"/>
        </w:rPr>
        <w:t>مقال استعمال الكبريت الكبدي في موقع جانوكسين</w:t>
      </w:r>
      <w:r>
        <w:rPr>
          <w:rFonts w:ascii="IBM Plex Sans Arabic" w:hAnsi="IBM Plex Sans Arabic" w:cs="IBM Plex Sans Arabic" w:eastAsia="IBM Plex Sans Arabic"/>
          <w:b w:val="0"/>
          <w:color w:val="17212F"/>
          <w:sz w:val="26"/>
          <w:szCs w:val="26"/>
          <w:rtl w:val="1"/>
        </w:rPr>
        <w:t xml:space="preserve"> (ganoksin.com). يدعم: ألوان الكبريت الكبدي وتحذيراته. تاريخ الاطلاع: 12 أكتوبر 2026.</w:t>
      </w:r>
    </w:p>
    <w:p>
      <w:pPr>
        <w:bidi w:val="1"/>
        <w:spacing w:after="120" w:line="360" w:lineRule="auto"/>
      </w:pPr>
      <w:r>
        <w:rPr>
          <w:rFonts w:ascii="IBM Plex Sans Arabic" w:hAnsi="IBM Plex Sans Arabic" w:cs="IBM Plex Sans Arabic" w:eastAsia="IBM Plex Sans Arabic"/>
          <w:b w:val="0"/>
          <w:color w:val="17212F"/>
          <w:sz w:val="26"/>
          <w:szCs w:val="26"/>
          <w:rtl w:val="1"/>
        </w:rPr>
        <w:t>‪https://www.ganoksin.com/article/using-liver-of-sulfur/‬</w:t>
      </w:r>
    </w:p>
    <w:p>
      <w:pPr>
        <w:bidi w:val="1"/>
        <w:spacing w:after="120" w:line="360" w:lineRule="auto"/>
      </w:pPr>
      <w:r>
        <w:rPr>
          <w:rFonts w:ascii="IBM Plex Sans Arabic" w:hAnsi="IBM Plex Sans Arabic" w:cs="IBM Plex Sans Arabic" w:eastAsia="IBM Plex Sans Arabic"/>
          <w:b/>
          <w:bCs/>
          <w:color w:val="D89A2B"/>
          <w:sz w:val="26"/>
          <w:szCs w:val="26"/>
          <w:rtl w:val="1"/>
        </w:rPr>
        <w:t xml:space="preserve">•  </w:t>
      </w:r>
      <w:r>
        <w:rPr>
          <w:rFonts w:ascii="IBM Plex Sans Arabic" w:hAnsi="IBM Plex Sans Arabic" w:cs="IBM Plex Sans Arabic" w:eastAsia="IBM Plex Sans Arabic"/>
          <w:b/>
          <w:bCs/>
          <w:color w:val="17212F"/>
          <w:sz w:val="26"/>
          <w:szCs w:val="26"/>
          <w:rtl w:val="1"/>
        </w:rPr>
        <w:t>مقال تعتيق النحاس بالتبخير في موقع جانوكسين</w:t>
      </w:r>
      <w:r>
        <w:rPr>
          <w:rFonts w:ascii="IBM Plex Sans Arabic" w:hAnsi="IBM Plex Sans Arabic" w:cs="IBM Plex Sans Arabic" w:eastAsia="IBM Plex Sans Arabic"/>
          <w:b w:val="0"/>
          <w:color w:val="17212F"/>
          <w:sz w:val="26"/>
          <w:szCs w:val="26"/>
          <w:rtl w:val="1"/>
        </w:rPr>
        <w:t xml:space="preserve"> (ganoksin.com). يدعم: التبخير بالأمونيا وحماية الطبقة. تاريخ الاطلاع: 12 أكتوبر 2026.</w:t>
      </w:r>
    </w:p>
    <w:p>
      <w:pPr>
        <w:bidi w:val="1"/>
        <w:spacing w:after="120" w:line="360" w:lineRule="auto"/>
      </w:pPr>
      <w:r>
        <w:rPr>
          <w:rFonts w:ascii="IBM Plex Sans Arabic" w:hAnsi="IBM Plex Sans Arabic" w:cs="IBM Plex Sans Arabic" w:eastAsia="IBM Plex Sans Arabic"/>
          <w:b w:val="0"/>
          <w:color w:val="17212F"/>
          <w:sz w:val="26"/>
          <w:szCs w:val="26"/>
          <w:rtl w:val="1"/>
        </w:rPr>
        <w:t>‪https://www.ganoksin.com/article/patination-copper-copper-alloy-fuming/‬</w:t>
      </w:r>
    </w:p>
    <w:p>
      <w:pPr>
        <w:bidi w:val="1"/>
        <w:spacing w:after="120" w:line="360" w:lineRule="auto"/>
      </w:pPr>
      <w:r>
        <w:rPr>
          <w:rFonts w:ascii="IBM Plex Sans Arabic" w:hAnsi="IBM Plex Sans Arabic" w:cs="IBM Plex Sans Arabic" w:eastAsia="IBM Plex Sans Arabic"/>
          <w:b/>
          <w:bCs/>
          <w:color w:val="D89A2B"/>
          <w:sz w:val="26"/>
          <w:szCs w:val="26"/>
          <w:rtl w:val="1"/>
        </w:rPr>
        <w:t xml:space="preserve">•  </w:t>
      </w:r>
      <w:r>
        <w:rPr>
          <w:rFonts w:ascii="IBM Plex Sans Arabic" w:hAnsi="IBM Plex Sans Arabic" w:cs="IBM Plex Sans Arabic" w:eastAsia="IBM Plex Sans Arabic"/>
          <w:b/>
          <w:bCs/>
          <w:color w:val="17212F"/>
          <w:sz w:val="26"/>
          <w:szCs w:val="26"/>
          <w:rtl w:val="1"/>
        </w:rPr>
        <w:t>مقال اعتبارات السلامة في التعتيق في موقع جانوكسين</w:t>
      </w:r>
      <w:r>
        <w:rPr>
          <w:rFonts w:ascii="IBM Plex Sans Arabic" w:hAnsi="IBM Plex Sans Arabic" w:cs="IBM Plex Sans Arabic" w:eastAsia="IBM Plex Sans Arabic"/>
          <w:b w:val="0"/>
          <w:color w:val="17212F"/>
          <w:sz w:val="26"/>
          <w:szCs w:val="26"/>
          <w:rtl w:val="1"/>
        </w:rPr>
        <w:t xml:space="preserve"> (ganoksin.com). يدعم: شروط السلامة. تاريخ الاطلاع: 12 أكتوبر 2026.</w:t>
      </w:r>
    </w:p>
    <w:p>
      <w:pPr>
        <w:bidi w:val="1"/>
        <w:spacing w:after="120" w:line="360" w:lineRule="auto"/>
      </w:pPr>
      <w:r>
        <w:rPr>
          <w:rFonts w:ascii="IBM Plex Sans Arabic" w:hAnsi="IBM Plex Sans Arabic" w:cs="IBM Plex Sans Arabic" w:eastAsia="IBM Plex Sans Arabic"/>
          <w:b w:val="0"/>
          <w:color w:val="17212F"/>
          <w:sz w:val="26"/>
          <w:szCs w:val="26"/>
          <w:rtl w:val="1"/>
        </w:rPr>
        <w:t>‪https://www.ganoksin.com/article/patination-safety-considerations/‬</w:t>
      </w:r>
    </w:p>
    <w:p>
      <w:pPr>
        <w:bidi w:val="1"/>
        <w:spacing w:after="120" w:line="360" w:lineRule="auto"/>
      </w:pPr>
      <w:r>
        <w:rPr>
          <w:rFonts w:ascii="IBM Plex Sans Arabic" w:hAnsi="IBM Plex Sans Arabic" w:cs="IBM Plex Sans Arabic" w:eastAsia="IBM Plex Sans Arabic"/>
          <w:b/>
          <w:bCs/>
          <w:color w:val="D89A2B"/>
          <w:sz w:val="26"/>
          <w:szCs w:val="26"/>
          <w:rtl w:val="1"/>
        </w:rPr>
        <w:t xml:space="preserve">•  </w:t>
      </w:r>
      <w:r>
        <w:rPr>
          <w:rFonts w:ascii="IBM Plex Sans Arabic" w:hAnsi="IBM Plex Sans Arabic" w:cs="IBM Plex Sans Arabic" w:eastAsia="IBM Plex Sans Arabic"/>
          <w:b/>
          <w:bCs/>
          <w:color w:val="17212F"/>
          <w:sz w:val="26"/>
          <w:szCs w:val="26"/>
          <w:rtl w:val="1"/>
        </w:rPr>
        <w:t>مقال تعتيق النحاس بالأمونيا في موسوعة سكاي جيمز</w:t>
      </w:r>
      <w:r>
        <w:rPr>
          <w:rFonts w:ascii="IBM Plex Sans Arabic" w:hAnsi="IBM Plex Sans Arabic" w:cs="IBM Plex Sans Arabic" w:eastAsia="IBM Plex Sans Arabic"/>
          <w:b w:val="0"/>
          <w:color w:val="17212F"/>
          <w:sz w:val="26"/>
          <w:szCs w:val="26"/>
          <w:rtl w:val="1"/>
        </w:rPr>
        <w:t xml:space="preserve"> (skyjems.ca). يدعم: ألوان التبخير ومدته وسلامته. تاريخ الاطلاع: 12 أكتوبر 2026.</w:t>
      </w:r>
    </w:p>
    <w:p>
      <w:pPr>
        <w:bidi w:val="1"/>
        <w:spacing w:after="120" w:line="360" w:lineRule="auto"/>
      </w:pPr>
      <w:r>
        <w:rPr>
          <w:rFonts w:ascii="IBM Plex Sans Arabic" w:hAnsi="IBM Plex Sans Arabic" w:cs="IBM Plex Sans Arabic" w:eastAsia="IBM Plex Sans Arabic"/>
          <w:b w:val="0"/>
          <w:color w:val="17212F"/>
          <w:sz w:val="26"/>
          <w:szCs w:val="26"/>
          <w:rtl w:val="1"/>
        </w:rPr>
        <w:t>‪https://skyjems.ca/pages/encyclopedia-ammonia-patina‬</w:t>
      </w:r>
    </w:p>
    <w:sectPr w:rsidR="00FC693F" w:rsidRPr="0006063C" w:rsidSect="00034616">
      <w:headerReference w:type="default" r:id="rId9"/>
      <w:footerReference w:type="default" r:id="rId10"/>
      <w:pgSz w:w="12240" w:h="15840"/>
      <w:pgMar w:top="1020" w:right="1247" w:bottom="1020" w:left="1247"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ascii="IBM Plex Sans Arabic" w:hAnsi="IBM Plex Sans Arabic" w:cs="IBM Plex Sans Arabic"/>
        <w:sz w:val="22"/>
        <w:szCs w:val="22"/>
        <w:rtl w:val="1"/>
        <w:lang w:val="ar-SA" w:eastAsia="en-US" w:bidi="ar-SA"/>
      </w:rPr>
    </w:rPrDefault>
    <w:pPrDefault>
      <w:pPr>
        <w:bidi w:val="1"/>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pPr>
    <w:rPr>
      <w:rFonts w:ascii="IBM Plex Sans Arabic" w:hAnsi="IBM Plex Sans Arabic" w:cs="IBM Plex Sans Arabic"/>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بحث عن تعتيق المعادن مفهومه وطرقه وسلامته مع ملف للطباعة</dc:title>
  <dc:subject/>
  <dc:creator/>
  <cp:keywords/>
  <dc:description/>
  <cp:lastModifiedBy/>
  <cp:revision>1</cp:revision>
  <dcterms:created xsi:type="dcterms:W3CDTF">2013-12-23T23:15:00Z</dcterms:created>
  <dcterms:modified xsi:type="dcterms:W3CDTF">2013-12-23T23:15:00Z</dcterms:modified>
  <cp:category/>
</cp:coreProperties>
</file>